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D71E" w14:textId="4AF986FE" w:rsidR="00E67AE5" w:rsidRPr="00E67AE5" w:rsidRDefault="00E67AE5" w:rsidP="00E67AE5">
      <w:pPr>
        <w:spacing w:before="100" w:beforeAutospacing="1" w:after="100" w:afterAutospacing="1"/>
        <w:jc w:val="center"/>
        <w:rPr>
          <w:rFonts w:ascii="Times New Roman" w:hAnsi="Times New Roman" w:cs="Times New Roman"/>
          <w:lang w:val="en-GB"/>
        </w:rPr>
      </w:pPr>
      <w:r w:rsidRPr="00E67AE5">
        <w:rPr>
          <w:rFonts w:ascii="Times New Roman" w:hAnsi="Times New Roman" w:cs="Times New Roman"/>
          <w:lang w:val="en-GB"/>
        </w:rPr>
        <w:t>Supporting Information for</w:t>
      </w:r>
    </w:p>
    <w:p w14:paraId="61BCAA18" w14:textId="2BEA88AB" w:rsidR="00E67AE5" w:rsidRDefault="00E67AE5" w:rsidP="00E67AE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8301A1">
        <w:rPr>
          <w:rFonts w:ascii="Times New Roman" w:hAnsi="Times New Roman" w:cs="Times New Roman"/>
          <w:b/>
          <w:bCs/>
          <w:sz w:val="24"/>
          <w:szCs w:val="24"/>
          <w:lang w:val="en-GB"/>
        </w:rPr>
        <w:t>Deep-sea benthic foraminiferal response to the Late Lutetian Thermal Maximum at Demerara Rise (ODP Site 1260, equatorial western Atlantic)</w:t>
      </w:r>
    </w:p>
    <w:p w14:paraId="10013DCC" w14:textId="77777777" w:rsidR="008301A1" w:rsidRPr="00C16689" w:rsidRDefault="008301A1" w:rsidP="008301A1">
      <w:pPr>
        <w:pStyle w:val="Authors"/>
      </w:pPr>
      <w:r>
        <w:t>Irene Peñalver-Clavel</w:t>
      </w:r>
      <w:r w:rsidRPr="00C16689">
        <w:rPr>
          <w:vertAlign w:val="superscript"/>
        </w:rPr>
        <w:t>1</w:t>
      </w:r>
      <w:r>
        <w:t>, Thomas Westerhold</w:t>
      </w:r>
      <w:r w:rsidRPr="00C16689">
        <w:rPr>
          <w:vertAlign w:val="superscript"/>
        </w:rPr>
        <w:t>2</w:t>
      </w:r>
      <w:r>
        <w:t>,</w:t>
      </w:r>
      <w:r w:rsidRPr="00C26311">
        <w:t xml:space="preserve"> </w:t>
      </w:r>
      <w:r>
        <w:t>Laia Alegret</w:t>
      </w:r>
      <w:r w:rsidRPr="00C16689">
        <w:rPr>
          <w:vertAlign w:val="superscript"/>
        </w:rPr>
        <w:t>1</w:t>
      </w:r>
    </w:p>
    <w:p w14:paraId="1AAC8045" w14:textId="77777777" w:rsidR="008301A1" w:rsidRPr="00C16689" w:rsidRDefault="008301A1" w:rsidP="008301A1">
      <w:pPr>
        <w:pStyle w:val="Affiliation"/>
        <w:rPr>
          <w:lang w:val="es-ES"/>
        </w:rPr>
      </w:pPr>
      <w:r w:rsidRPr="00C16689">
        <w:rPr>
          <w:vertAlign w:val="superscript"/>
          <w:lang w:val="es-ES"/>
        </w:rPr>
        <w:t>1</w:t>
      </w:r>
      <w:r w:rsidRPr="00C16689">
        <w:rPr>
          <w:lang w:val="es-ES"/>
        </w:rPr>
        <w:t>Departamento de Ciencias de la Tierra &amp; IUCA, Universidad de Zaragoza, Zaragoza,</w:t>
      </w:r>
      <w:r>
        <w:rPr>
          <w:lang w:val="es-ES"/>
        </w:rPr>
        <w:t xml:space="preserve"> 50009,</w:t>
      </w:r>
      <w:r w:rsidRPr="00C16689">
        <w:rPr>
          <w:lang w:val="es-ES"/>
        </w:rPr>
        <w:t xml:space="preserve"> Spain</w:t>
      </w:r>
    </w:p>
    <w:p w14:paraId="66C1A3A4" w14:textId="77777777" w:rsidR="008301A1" w:rsidRDefault="008301A1" w:rsidP="008301A1">
      <w:pPr>
        <w:pStyle w:val="Affiliation"/>
      </w:pPr>
      <w:r w:rsidRPr="000A1B66">
        <w:rPr>
          <w:vertAlign w:val="superscript"/>
        </w:rPr>
        <w:t>2</w:t>
      </w:r>
      <w:r w:rsidRPr="00C16689">
        <w:t xml:space="preserve">MARUM - Center for Marine Environmental Sciences, University of Bremen, </w:t>
      </w:r>
      <w:r>
        <w:t xml:space="preserve">Bremen, 28359, </w:t>
      </w:r>
      <w:r w:rsidRPr="00C16689">
        <w:t>Germany</w:t>
      </w:r>
    </w:p>
    <w:p w14:paraId="2DAFBCD8" w14:textId="024A81C4" w:rsidR="008301A1" w:rsidRDefault="008301A1" w:rsidP="008301A1">
      <w:pPr>
        <w:pStyle w:val="Correspondence"/>
      </w:pPr>
      <w:r w:rsidRPr="000A1B66">
        <w:rPr>
          <w:i/>
        </w:rPr>
        <w:t>Correspondence to</w:t>
      </w:r>
      <w:r>
        <w:t>: Irene Peñalver-Clavel (</w:t>
      </w:r>
      <w:hyperlink r:id="rId6" w:history="1">
        <w:r w:rsidRPr="00405AA9">
          <w:rPr>
            <w:rStyle w:val="Hipervnculo"/>
          </w:rPr>
          <w:t>irenepc@unizar.es</w:t>
        </w:r>
      </w:hyperlink>
      <w:r>
        <w:t>)</w:t>
      </w:r>
    </w:p>
    <w:p w14:paraId="7F60F572" w14:textId="1F40726C" w:rsidR="009A74EB" w:rsidRDefault="009A74EB" w:rsidP="008301A1">
      <w:pPr>
        <w:pStyle w:val="Correspondence"/>
        <w:rPr>
          <w:sz w:val="22"/>
          <w:szCs w:val="28"/>
        </w:rPr>
      </w:pPr>
    </w:p>
    <w:p w14:paraId="13FA3FA0" w14:textId="0601355E" w:rsidR="00974DBC" w:rsidRDefault="00974DBC" w:rsidP="00974DBC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901CB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Contents of this file </w:t>
      </w:r>
    </w:p>
    <w:p w14:paraId="7769041A" w14:textId="34299C15" w:rsidR="0092373E" w:rsidRPr="0092373E" w:rsidRDefault="0092373E" w:rsidP="00974DBC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92373E">
        <w:rPr>
          <w:rFonts w:ascii="Times New Roman" w:hAnsi="Times New Roman" w:cs="Times New Roman"/>
          <w:lang w:val="en-GB"/>
        </w:rPr>
        <w:t>Introduction</w:t>
      </w:r>
    </w:p>
    <w:p w14:paraId="02679639" w14:textId="6F5349EF" w:rsidR="00974DBC" w:rsidRPr="00974DBC" w:rsidRDefault="00974DBC" w:rsidP="00974DBC">
      <w:pPr>
        <w:ind w:left="720"/>
        <w:rPr>
          <w:rFonts w:ascii="Times New Roman" w:hAnsi="Times New Roman" w:cs="Times New Roman"/>
          <w:lang w:val="en-GB"/>
        </w:rPr>
      </w:pPr>
      <w:r w:rsidRPr="00974DBC">
        <w:rPr>
          <w:rFonts w:ascii="Times New Roman" w:hAnsi="Times New Roman" w:cs="Times New Roman"/>
          <w:lang w:val="en-GB"/>
        </w:rPr>
        <w:t>Statistical analyses</w:t>
      </w:r>
    </w:p>
    <w:p w14:paraId="5AFACBEB" w14:textId="1BF38B0F" w:rsidR="00974DBC" w:rsidRPr="00974DBC" w:rsidRDefault="00974DBC" w:rsidP="00974DBC">
      <w:pPr>
        <w:ind w:left="720"/>
        <w:rPr>
          <w:rFonts w:ascii="Times New Roman" w:hAnsi="Times New Roman" w:cs="Times New Roman"/>
          <w:lang w:val="en-GB"/>
        </w:rPr>
      </w:pPr>
      <w:r w:rsidRPr="00974DBC">
        <w:rPr>
          <w:rFonts w:ascii="Times New Roman" w:hAnsi="Times New Roman" w:cs="Times New Roman"/>
          <w:lang w:val="en-GB"/>
        </w:rPr>
        <w:t>Figures S1 and S2</w:t>
      </w:r>
    </w:p>
    <w:p w14:paraId="06725C00" w14:textId="1A4A537B" w:rsidR="00974DBC" w:rsidRDefault="00974DBC" w:rsidP="008301A1">
      <w:pPr>
        <w:pStyle w:val="Correspondence"/>
        <w:rPr>
          <w:sz w:val="22"/>
          <w:szCs w:val="28"/>
        </w:rPr>
      </w:pPr>
    </w:p>
    <w:p w14:paraId="307150E1" w14:textId="77777777" w:rsidR="00974DBC" w:rsidRPr="00260326" w:rsidRDefault="00974DBC" w:rsidP="008301A1">
      <w:pPr>
        <w:pStyle w:val="Correspondence"/>
        <w:rPr>
          <w:sz w:val="22"/>
          <w:szCs w:val="28"/>
        </w:rPr>
      </w:pPr>
    </w:p>
    <w:p w14:paraId="67812ED5" w14:textId="77777777" w:rsidR="00E94DDF" w:rsidRPr="00901CB1" w:rsidRDefault="00E94DDF" w:rsidP="00E94DDF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901CB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Introduction </w:t>
      </w:r>
    </w:p>
    <w:p w14:paraId="0A970C77" w14:textId="4FEED259" w:rsidR="00E94DDF" w:rsidRPr="00F96CB0" w:rsidRDefault="00E94DDF" w:rsidP="00E94DDF">
      <w:pPr>
        <w:rPr>
          <w:rFonts w:ascii="Times New Roman" w:hAnsi="Times New Roman" w:cs="Times New Roman"/>
          <w:lang w:val="en-GB"/>
        </w:rPr>
      </w:pPr>
      <w:r w:rsidRPr="00901CB1">
        <w:rPr>
          <w:rFonts w:ascii="Times New Roman" w:hAnsi="Times New Roman" w:cs="Times New Roman"/>
          <w:lang w:val="en-GB"/>
        </w:rPr>
        <w:t>In this study, we combined published with new data from ODP Site 1260</w:t>
      </w:r>
      <w:r w:rsidR="00901CB1" w:rsidRPr="00901CB1">
        <w:rPr>
          <w:rFonts w:ascii="Times New Roman" w:hAnsi="Times New Roman" w:cs="Times New Roman"/>
          <w:lang w:val="en-GB"/>
        </w:rPr>
        <w:t xml:space="preserve"> </w:t>
      </w:r>
      <w:r w:rsidR="00901CB1">
        <w:rPr>
          <w:rFonts w:ascii="Times New Roman" w:hAnsi="Times New Roman" w:cs="Times New Roman"/>
          <w:lang w:val="en-GB"/>
        </w:rPr>
        <w:t>to understand the biotic response to the Late Lutetian Thermal Maximum</w:t>
      </w:r>
      <w:r w:rsidRPr="00901CB1">
        <w:rPr>
          <w:rFonts w:ascii="Times New Roman" w:hAnsi="Times New Roman" w:cs="Times New Roman"/>
          <w:lang w:val="en-GB"/>
        </w:rPr>
        <w:t xml:space="preserve">. </w:t>
      </w:r>
      <w:r w:rsidRPr="00F96CB0">
        <w:rPr>
          <w:rFonts w:ascii="Times New Roman" w:hAnsi="Times New Roman" w:cs="Times New Roman"/>
          <w:lang w:val="en-GB"/>
        </w:rPr>
        <w:t xml:space="preserve">The supplement contains </w:t>
      </w:r>
      <w:r w:rsidR="00F96CB0" w:rsidRPr="00F96CB0">
        <w:rPr>
          <w:rFonts w:ascii="Times New Roman" w:hAnsi="Times New Roman" w:cs="Times New Roman"/>
          <w:lang w:val="en-GB"/>
        </w:rPr>
        <w:t>i</w:t>
      </w:r>
      <w:r w:rsidR="00F96CB0">
        <w:rPr>
          <w:rFonts w:ascii="Times New Roman" w:hAnsi="Times New Roman" w:cs="Times New Roman"/>
          <w:lang w:val="en-GB"/>
        </w:rPr>
        <w:t>nformation about the</w:t>
      </w:r>
      <w:r w:rsidR="00F96CB0" w:rsidRPr="00F96CB0">
        <w:rPr>
          <w:lang w:val="en-GB"/>
        </w:rPr>
        <w:t xml:space="preserve"> </w:t>
      </w:r>
      <w:r w:rsidR="00F96CB0">
        <w:rPr>
          <w:rFonts w:ascii="Times New Roman" w:hAnsi="Times New Roman" w:cs="Times New Roman"/>
          <w:lang w:val="en-GB"/>
        </w:rPr>
        <w:t>s</w:t>
      </w:r>
      <w:r w:rsidR="00F96CB0" w:rsidRPr="00F96CB0">
        <w:rPr>
          <w:rFonts w:ascii="Times New Roman" w:hAnsi="Times New Roman" w:cs="Times New Roman"/>
          <w:lang w:val="en-GB"/>
        </w:rPr>
        <w:t>tatistical analyses</w:t>
      </w:r>
      <w:r w:rsidR="00F96CB0">
        <w:rPr>
          <w:rFonts w:ascii="Times New Roman" w:hAnsi="Times New Roman" w:cs="Times New Roman"/>
          <w:lang w:val="en-GB"/>
        </w:rPr>
        <w:t xml:space="preserve">, including </w:t>
      </w:r>
      <w:r w:rsidRPr="00F96CB0">
        <w:rPr>
          <w:rFonts w:ascii="Times New Roman" w:hAnsi="Times New Roman" w:cs="Times New Roman"/>
          <w:lang w:val="en-GB"/>
        </w:rPr>
        <w:t>supplementary figure</w:t>
      </w:r>
      <w:r w:rsidR="00901CB1">
        <w:rPr>
          <w:rFonts w:ascii="Times New Roman" w:hAnsi="Times New Roman" w:cs="Times New Roman"/>
          <w:lang w:val="en-GB"/>
        </w:rPr>
        <w:t>s</w:t>
      </w:r>
      <w:r w:rsidRPr="00F96CB0">
        <w:rPr>
          <w:rFonts w:ascii="Times New Roman" w:hAnsi="Times New Roman" w:cs="Times New Roman"/>
          <w:lang w:val="en-GB"/>
        </w:rPr>
        <w:t xml:space="preserve"> to support the interpretation in the manuscript.</w:t>
      </w:r>
    </w:p>
    <w:p w14:paraId="380570B4" w14:textId="54C4B108" w:rsidR="00E94DDF" w:rsidRDefault="00E94DDF" w:rsidP="00E94DDF">
      <w:pPr>
        <w:rPr>
          <w:rFonts w:ascii="Times New Roman" w:hAnsi="Times New Roman" w:cs="Times New Roman"/>
          <w:u w:val="single"/>
          <w:lang w:val="en-GB"/>
        </w:rPr>
      </w:pPr>
    </w:p>
    <w:p w14:paraId="18C85481" w14:textId="77777777" w:rsidR="009A74EB" w:rsidRPr="00F96CB0" w:rsidRDefault="009A74EB" w:rsidP="00E94DDF">
      <w:pPr>
        <w:rPr>
          <w:rFonts w:ascii="Times New Roman" w:hAnsi="Times New Roman" w:cs="Times New Roman"/>
          <w:u w:val="single"/>
          <w:lang w:val="en-GB"/>
        </w:rPr>
      </w:pPr>
    </w:p>
    <w:p w14:paraId="16D90793" w14:textId="3C9EE2CC" w:rsidR="00F96CB0" w:rsidRPr="00260326" w:rsidRDefault="00F96CB0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_Hlk205197198"/>
      <w:r w:rsidRPr="0026032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Statistical analyses </w:t>
      </w:r>
    </w:p>
    <w:p w14:paraId="06498B67" w14:textId="1216DC6E" w:rsidR="009A74EB" w:rsidRDefault="009A7D52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n-GB"/>
        </w:rPr>
      </w:pPr>
      <w:r w:rsidRPr="00AE0B38">
        <w:rPr>
          <w:rFonts w:ascii="Times New Roman" w:hAnsi="Times New Roman" w:cs="Times New Roman"/>
          <w:lang w:val="en-GB"/>
        </w:rPr>
        <w:t xml:space="preserve">Q-mode </w:t>
      </w:r>
      <w:r w:rsidR="009A74EB">
        <w:rPr>
          <w:rFonts w:ascii="Times New Roman" w:hAnsi="Times New Roman" w:cs="Times New Roman"/>
          <w:lang w:val="en-GB"/>
        </w:rPr>
        <w:t xml:space="preserve">(samples) </w:t>
      </w:r>
      <w:r w:rsidRPr="00AE0B38">
        <w:rPr>
          <w:rFonts w:ascii="Times New Roman" w:hAnsi="Times New Roman" w:cs="Times New Roman"/>
          <w:lang w:val="en-GB"/>
        </w:rPr>
        <w:t>and R-mode</w:t>
      </w:r>
      <w:r w:rsidR="009A74EB">
        <w:rPr>
          <w:rFonts w:ascii="Times New Roman" w:hAnsi="Times New Roman" w:cs="Times New Roman"/>
          <w:lang w:val="en-GB"/>
        </w:rPr>
        <w:t xml:space="preserve"> (species)</w:t>
      </w:r>
      <w:r w:rsidRPr="00AE0B38">
        <w:rPr>
          <w:rFonts w:ascii="Times New Roman" w:hAnsi="Times New Roman" w:cs="Times New Roman"/>
          <w:lang w:val="en-GB"/>
        </w:rPr>
        <w:t xml:space="preserve"> analyses were completed using the PAST software (Hammer et al., 2001) on a data matrix. The </w:t>
      </w:r>
      <w:r w:rsidR="00065EA6">
        <w:rPr>
          <w:rFonts w:ascii="Times New Roman" w:hAnsi="Times New Roman" w:cs="Times New Roman"/>
          <w:lang w:val="en-GB"/>
        </w:rPr>
        <w:t xml:space="preserve">data </w:t>
      </w:r>
      <w:r w:rsidRPr="00AE0B38">
        <w:rPr>
          <w:rFonts w:ascii="Times New Roman" w:hAnsi="Times New Roman" w:cs="Times New Roman"/>
          <w:lang w:val="en-GB"/>
        </w:rPr>
        <w:t>matrix included the 2</w:t>
      </w:r>
      <w:r w:rsidR="002A5599">
        <w:rPr>
          <w:rFonts w:ascii="Times New Roman" w:hAnsi="Times New Roman" w:cs="Times New Roman"/>
          <w:lang w:val="en-GB"/>
        </w:rPr>
        <w:t>1</w:t>
      </w:r>
      <w:r w:rsidRPr="00AE0B38">
        <w:rPr>
          <w:rFonts w:ascii="Times New Roman" w:hAnsi="Times New Roman" w:cs="Times New Roman"/>
          <w:lang w:val="en-GB"/>
        </w:rPr>
        <w:t xml:space="preserve"> studied samples and selected species that showed relative abundance &gt;2% in at least one sample. Hierarchical cluster analysis on samples was completed and was processed using the correlation similarity index and the unweighted pair-group average algorithm (UPGMA) (</w:t>
      </w:r>
      <w:r w:rsidR="00BA2AA8">
        <w:rPr>
          <w:rFonts w:ascii="Times New Roman" w:hAnsi="Times New Roman" w:cs="Times New Roman"/>
          <w:lang w:val="en-GB"/>
        </w:rPr>
        <w:t xml:space="preserve">Suppl. </w:t>
      </w:r>
      <w:r w:rsidRPr="00AE0B38">
        <w:rPr>
          <w:rFonts w:ascii="Times New Roman" w:hAnsi="Times New Roman" w:cs="Times New Roman"/>
          <w:lang w:val="en-GB"/>
        </w:rPr>
        <w:t>Fig.</w:t>
      </w:r>
      <w:r w:rsidR="00BA2AA8">
        <w:rPr>
          <w:rFonts w:ascii="Times New Roman" w:hAnsi="Times New Roman" w:cs="Times New Roman"/>
          <w:lang w:val="en-GB"/>
        </w:rPr>
        <w:t xml:space="preserve"> S1</w:t>
      </w:r>
      <w:r w:rsidRPr="00AE0B38">
        <w:rPr>
          <w:rFonts w:ascii="Times New Roman" w:hAnsi="Times New Roman" w:cs="Times New Roman"/>
          <w:lang w:val="en-GB"/>
        </w:rPr>
        <w:t>). Additionally, Detrended Correspondence Analysis (DCA) was performed using the same software and dataset (Q-mode and R-mode, Fig. 5</w:t>
      </w:r>
      <w:r w:rsidR="00BA2AA8">
        <w:rPr>
          <w:rFonts w:ascii="Times New Roman" w:hAnsi="Times New Roman" w:cs="Times New Roman"/>
          <w:lang w:val="en-GB"/>
        </w:rPr>
        <w:t xml:space="preserve"> </w:t>
      </w:r>
      <w:r w:rsidRPr="00AE0B38">
        <w:rPr>
          <w:rFonts w:ascii="Times New Roman" w:hAnsi="Times New Roman" w:cs="Times New Roman"/>
          <w:lang w:val="en-GB"/>
        </w:rPr>
        <w:t>and Suppl. Fig. S</w:t>
      </w:r>
      <w:r w:rsidR="00BA2AA8">
        <w:rPr>
          <w:rFonts w:ascii="Times New Roman" w:hAnsi="Times New Roman" w:cs="Times New Roman"/>
          <w:lang w:val="en-GB"/>
        </w:rPr>
        <w:t>2</w:t>
      </w:r>
      <w:r w:rsidRPr="00AE0B38">
        <w:rPr>
          <w:rFonts w:ascii="Times New Roman" w:hAnsi="Times New Roman" w:cs="Times New Roman"/>
          <w:lang w:val="en-GB"/>
        </w:rPr>
        <w:t>). This served to both deepen the understanding of the clustering results and to examine the correlation between foraminifera and environmental variables (Hammer and Harper, 2005, Rivero-Cuesta et al., 2020).</w:t>
      </w:r>
      <w:r w:rsidR="00141F1D">
        <w:rPr>
          <w:rFonts w:ascii="Times New Roman" w:hAnsi="Times New Roman" w:cs="Times New Roman"/>
          <w:lang w:val="en-GB"/>
        </w:rPr>
        <w:t xml:space="preserve"> </w:t>
      </w:r>
    </w:p>
    <w:p w14:paraId="6992F764" w14:textId="6441FA38" w:rsidR="009A74EB" w:rsidRDefault="009A74EB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5229241D" w14:textId="0F5B4A59" w:rsidR="00974DBC" w:rsidRDefault="00974DBC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3C3FFBB1" w14:textId="7DA79A73" w:rsidR="00974DBC" w:rsidRDefault="00974DBC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21A047B9" w14:textId="77777777" w:rsidR="00974DBC" w:rsidRDefault="00974DBC" w:rsidP="00974DBC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39E26971" w14:textId="25FACD3C" w:rsidR="009A74EB" w:rsidRPr="00974DBC" w:rsidRDefault="009A74EB" w:rsidP="00974DBC">
      <w:pPr>
        <w:pStyle w:val="Prrafodelist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  <w:r w:rsidRPr="00974DBC">
        <w:rPr>
          <w:rFonts w:ascii="Times New Roman" w:hAnsi="Times New Roman" w:cs="Times New Roman"/>
          <w:b/>
          <w:bCs/>
          <w:lang w:val="en-GB"/>
        </w:rPr>
        <w:t>Q-mode (samples) hierarchical cluster analysis</w:t>
      </w:r>
    </w:p>
    <w:p w14:paraId="497F2C90" w14:textId="6D1B6429" w:rsidR="009A74EB" w:rsidRPr="00260326" w:rsidRDefault="003F7FCE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lang w:val="en-GB"/>
        </w:rPr>
        <w:t>The Cluster</w:t>
      </w:r>
      <w:r w:rsidR="00260326">
        <w:rPr>
          <w:rFonts w:ascii="Times New Roman" w:hAnsi="Times New Roman" w:cs="Times New Roman"/>
          <w:lang w:val="en-GB"/>
        </w:rPr>
        <w:t xml:space="preserve"> analysis</w:t>
      </w:r>
      <w:r w:rsidR="00907675">
        <w:rPr>
          <w:rFonts w:ascii="Times New Roman" w:hAnsi="Times New Roman" w:cs="Times New Roman"/>
          <w:lang w:val="en-GB"/>
        </w:rPr>
        <w:t xml:space="preserve"> (</w:t>
      </w:r>
      <w:r w:rsidR="004E2C5E">
        <w:rPr>
          <w:rFonts w:ascii="Times New Roman" w:hAnsi="Times New Roman" w:cs="Times New Roman"/>
          <w:lang w:val="en-GB"/>
        </w:rPr>
        <w:t xml:space="preserve">Suppl. </w:t>
      </w:r>
      <w:r w:rsidR="00907675">
        <w:rPr>
          <w:rFonts w:ascii="Times New Roman" w:hAnsi="Times New Roman" w:cs="Times New Roman"/>
          <w:lang w:val="en-GB"/>
        </w:rPr>
        <w:t>Fig. S1)</w:t>
      </w:r>
      <w:r w:rsidR="00141F1D">
        <w:rPr>
          <w:rFonts w:ascii="Times New Roman" w:hAnsi="Times New Roman" w:cs="Times New Roman"/>
          <w:lang w:val="en-GB"/>
        </w:rPr>
        <w:t xml:space="preserve"> </w:t>
      </w:r>
      <w:r w:rsidR="00387BE8">
        <w:rPr>
          <w:rFonts w:ascii="Times New Roman" w:hAnsi="Times New Roman" w:cs="Times New Roman"/>
          <w:lang w:val="en-GB"/>
        </w:rPr>
        <w:t>separates</w:t>
      </w:r>
      <w:r w:rsidR="00141F1D">
        <w:rPr>
          <w:rFonts w:ascii="Times New Roman" w:hAnsi="Times New Roman" w:cs="Times New Roman"/>
          <w:lang w:val="en-GB"/>
        </w:rPr>
        <w:t xml:space="preserve"> the six stratigraphic intervals defined in our study </w:t>
      </w:r>
      <w:r w:rsidR="00387BE8">
        <w:rPr>
          <w:rFonts w:ascii="Times New Roman" w:hAnsi="Times New Roman" w:cs="Times New Roman"/>
          <w:lang w:val="en-GB"/>
        </w:rPr>
        <w:t>section</w:t>
      </w:r>
      <w:r w:rsidR="00141F1D">
        <w:rPr>
          <w:rFonts w:ascii="Times New Roman" w:hAnsi="Times New Roman" w:cs="Times New Roman"/>
          <w:lang w:val="en-GB"/>
        </w:rPr>
        <w:t xml:space="preserve"> from ODP Site 1260</w:t>
      </w:r>
      <w:r w:rsidR="00387BE8">
        <w:rPr>
          <w:rFonts w:ascii="Times New Roman" w:hAnsi="Times New Roman" w:cs="Times New Roman"/>
          <w:lang w:val="en-GB"/>
        </w:rPr>
        <w:t xml:space="preserve">, with interval 4 including the depths of the LLTM event. </w:t>
      </w:r>
      <w:r w:rsidR="001B461F">
        <w:rPr>
          <w:rFonts w:ascii="Times New Roman" w:hAnsi="Times New Roman" w:cs="Times New Roman"/>
          <w:lang w:val="en-GB"/>
        </w:rPr>
        <w:t>I</w:t>
      </w:r>
      <w:r w:rsidR="00387BE8">
        <w:rPr>
          <w:rFonts w:ascii="Times New Roman" w:hAnsi="Times New Roman" w:cs="Times New Roman"/>
          <w:lang w:val="en-GB"/>
        </w:rPr>
        <w:t xml:space="preserve">nterval </w:t>
      </w:r>
      <w:r w:rsidR="001B461F">
        <w:rPr>
          <w:rFonts w:ascii="Times New Roman" w:hAnsi="Times New Roman" w:cs="Times New Roman"/>
          <w:lang w:val="en-GB"/>
        </w:rPr>
        <w:t>4</w:t>
      </w:r>
      <w:r w:rsidR="00907675">
        <w:rPr>
          <w:rFonts w:ascii="Times New Roman" w:hAnsi="Times New Roman" w:cs="Times New Roman"/>
          <w:lang w:val="en-GB"/>
        </w:rPr>
        <w:t>/LLTM</w:t>
      </w:r>
      <w:r w:rsidR="001B461F">
        <w:rPr>
          <w:rFonts w:ascii="Times New Roman" w:hAnsi="Times New Roman" w:cs="Times New Roman"/>
          <w:lang w:val="en-GB"/>
        </w:rPr>
        <w:t xml:space="preserve"> </w:t>
      </w:r>
      <w:r w:rsidR="00387BE8">
        <w:rPr>
          <w:rFonts w:ascii="Times New Roman" w:hAnsi="Times New Roman" w:cs="Times New Roman"/>
          <w:lang w:val="en-GB"/>
        </w:rPr>
        <w:t xml:space="preserve">is subdivided into subinterval 4a, </w:t>
      </w:r>
      <w:r w:rsidR="00387BE8" w:rsidRPr="00387BE8">
        <w:rPr>
          <w:rFonts w:ascii="Times New Roman" w:hAnsi="Times New Roman" w:cs="Times New Roman"/>
          <w:lang w:val="en-GB"/>
        </w:rPr>
        <w:t xml:space="preserve">which </w:t>
      </w:r>
      <w:r w:rsidR="00387BE8">
        <w:rPr>
          <w:rFonts w:ascii="Times New Roman" w:hAnsi="Times New Roman" w:cs="Times New Roman"/>
          <w:lang w:val="en-GB"/>
        </w:rPr>
        <w:t xml:space="preserve">include the depths that </w:t>
      </w:r>
      <w:r w:rsidR="00387BE8" w:rsidRPr="00387BE8">
        <w:rPr>
          <w:rFonts w:ascii="Times New Roman" w:hAnsi="Times New Roman" w:cs="Times New Roman"/>
          <w:lang w:val="en-GB"/>
        </w:rPr>
        <w:t>reflects the most significant environmental perturbation</w:t>
      </w:r>
      <w:r w:rsidR="00387BE8">
        <w:rPr>
          <w:rFonts w:ascii="Times New Roman" w:hAnsi="Times New Roman" w:cs="Times New Roman"/>
          <w:lang w:val="en-GB"/>
        </w:rPr>
        <w:t>, and subinterval 4b</w:t>
      </w:r>
      <w:r w:rsidR="001B461F">
        <w:rPr>
          <w:rFonts w:ascii="Times New Roman" w:hAnsi="Times New Roman" w:cs="Times New Roman"/>
          <w:lang w:val="en-GB"/>
        </w:rPr>
        <w:t xml:space="preserve">. </w:t>
      </w:r>
      <w:r w:rsidR="00260326">
        <w:rPr>
          <w:rFonts w:ascii="Times New Roman" w:hAnsi="Times New Roman" w:cs="Times New Roman"/>
          <w:lang w:val="en-GB"/>
        </w:rPr>
        <w:t>C</w:t>
      </w:r>
      <w:r w:rsidR="009A74EB" w:rsidRPr="00260326">
        <w:rPr>
          <w:rFonts w:ascii="Times New Roman" w:hAnsi="Times New Roman" w:cs="Times New Roman"/>
          <w:lang w:val="en-GB"/>
        </w:rPr>
        <w:t>luster A groups two samples from subinterval 4</w:t>
      </w:r>
      <w:r w:rsidR="00387BE8">
        <w:rPr>
          <w:rFonts w:ascii="Times New Roman" w:hAnsi="Times New Roman" w:cs="Times New Roman"/>
          <w:lang w:val="en-GB"/>
        </w:rPr>
        <w:t>a</w:t>
      </w:r>
      <w:r w:rsidR="009A74EB" w:rsidRPr="00260326">
        <w:rPr>
          <w:rFonts w:ascii="Times New Roman" w:hAnsi="Times New Roman" w:cs="Times New Roman"/>
          <w:lang w:val="en-GB"/>
        </w:rPr>
        <w:t xml:space="preserve"> showing lower CaCO</w:t>
      </w:r>
      <w:r w:rsidR="009A74EB" w:rsidRPr="00260326">
        <w:rPr>
          <w:rFonts w:ascii="Times New Roman" w:hAnsi="Times New Roman" w:cs="Times New Roman"/>
          <w:vertAlign w:val="subscript"/>
          <w:lang w:val="en-GB"/>
        </w:rPr>
        <w:t>3</w:t>
      </w:r>
      <w:r w:rsidR="009A74EB" w:rsidRPr="00260326">
        <w:rPr>
          <w:rFonts w:ascii="Times New Roman" w:hAnsi="Times New Roman" w:cs="Times New Roman"/>
          <w:lang w:val="en-GB"/>
        </w:rPr>
        <w:t xml:space="preserve"> values, fewer percentages of planktonic organisms, higher number of fish teeth per gram of sediment, and warmer temperatures</w:t>
      </w:r>
      <w:r w:rsidR="00BF374E">
        <w:rPr>
          <w:rFonts w:ascii="Times New Roman" w:hAnsi="Times New Roman" w:cs="Times New Roman"/>
          <w:lang w:val="en-GB"/>
        </w:rPr>
        <w:t xml:space="preserve">. </w:t>
      </w:r>
      <w:r w:rsidR="009A74EB" w:rsidRPr="00260326">
        <w:rPr>
          <w:rFonts w:ascii="Times New Roman" w:hAnsi="Times New Roman" w:cs="Times New Roman"/>
          <w:lang w:val="en-GB"/>
        </w:rPr>
        <w:t>Within cluster B, subcluster B1 contains the rest of the samples from subinterval 4a,</w:t>
      </w:r>
      <w:r w:rsidR="00387BE8">
        <w:rPr>
          <w:rFonts w:ascii="Times New Roman" w:hAnsi="Times New Roman" w:cs="Times New Roman"/>
          <w:lang w:val="en-GB"/>
        </w:rPr>
        <w:t xml:space="preserve"> </w:t>
      </w:r>
      <w:r w:rsidR="001B461F">
        <w:rPr>
          <w:rFonts w:ascii="Times New Roman" w:hAnsi="Times New Roman" w:cs="Times New Roman"/>
          <w:lang w:val="en-GB"/>
        </w:rPr>
        <w:t>while</w:t>
      </w:r>
      <w:r w:rsidR="00387BE8">
        <w:rPr>
          <w:rFonts w:ascii="Times New Roman" w:hAnsi="Times New Roman" w:cs="Times New Roman"/>
          <w:lang w:val="en-GB"/>
        </w:rPr>
        <w:t xml:space="preserve"> </w:t>
      </w:r>
      <w:r w:rsidR="009A74EB" w:rsidRPr="00260326">
        <w:rPr>
          <w:rFonts w:ascii="Times New Roman" w:hAnsi="Times New Roman" w:cs="Times New Roman"/>
          <w:lang w:val="en-GB"/>
        </w:rPr>
        <w:t>all remaining samples are included in subcluster B2</w:t>
      </w:r>
      <w:r w:rsidR="00BF374E">
        <w:rPr>
          <w:rFonts w:ascii="Times New Roman" w:hAnsi="Times New Roman" w:cs="Times New Roman"/>
          <w:lang w:val="en-GB"/>
        </w:rPr>
        <w:t>.</w:t>
      </w:r>
    </w:p>
    <w:p w14:paraId="3EA5127E" w14:textId="77777777" w:rsidR="009A74EB" w:rsidRPr="009A74EB" w:rsidRDefault="009A74EB" w:rsidP="00F96CB0">
      <w:pPr>
        <w:spacing w:before="100" w:beforeAutospacing="1" w:after="100" w:afterAutospacing="1"/>
        <w:jc w:val="both"/>
        <w:rPr>
          <w:rFonts w:ascii="Times New Roman" w:hAnsi="Times New Roman" w:cs="Times New Roman"/>
          <w:u w:val="single"/>
          <w:lang w:val="en-GB"/>
        </w:rPr>
      </w:pPr>
    </w:p>
    <w:p w14:paraId="70C446BE" w14:textId="491A8E48" w:rsidR="00AE0B38" w:rsidRDefault="009A74EB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  <w:r>
        <w:rPr>
          <w:rFonts w:ascii="Times New Roman" w:hAnsi="Times New Roman" w:cs="Times New Roman"/>
          <w:noProof/>
          <w:lang w:val="en-GB"/>
        </w:rPr>
        <w:drawing>
          <wp:inline distT="0" distB="0" distL="0" distR="0" wp14:anchorId="153C52CC" wp14:editId="72A8BC4A">
            <wp:extent cx="5476875" cy="3807535"/>
            <wp:effectExtent l="0" t="0" r="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8673" cy="3815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3567" w:rsidRPr="006951BA">
        <w:rPr>
          <w:rFonts w:ascii="Times New Roman" w:hAnsi="Times New Roman" w:cs="Times New Roman"/>
          <w:sz w:val="20"/>
          <w:szCs w:val="20"/>
          <w:lang w:val="en-GB"/>
        </w:rPr>
        <w:t xml:space="preserve">Supplementary Figure S1. </w:t>
      </w:r>
      <w:r w:rsidR="00AE0B38" w:rsidRPr="006951BA">
        <w:rPr>
          <w:rFonts w:ascii="Times New Roman" w:hAnsi="Times New Roman" w:cs="Times New Roman"/>
          <w:sz w:val="20"/>
          <w:szCs w:val="20"/>
          <w:lang w:val="en-GB"/>
        </w:rPr>
        <w:t>Cluster analysis plot of studied samples across the ODP Site 1260.</w:t>
      </w:r>
      <w:r w:rsidR="00AE0B38" w:rsidRPr="00AE0B38">
        <w:rPr>
          <w:b/>
          <w:bCs/>
          <w:sz w:val="18"/>
          <w:szCs w:val="18"/>
          <w:lang w:val="en-GB"/>
        </w:rPr>
        <w:t xml:space="preserve"> </w:t>
      </w:r>
    </w:p>
    <w:p w14:paraId="1AD1313B" w14:textId="6C20544F" w:rsidR="006951BA" w:rsidRDefault="006951BA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2F4F5D9A" w14:textId="12C69D03" w:rsidR="00974DBC" w:rsidRDefault="00974DBC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68823B2D" w14:textId="67252B4D" w:rsidR="00974DBC" w:rsidRDefault="00974DBC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17FB0FC7" w14:textId="159900DD" w:rsidR="00974DBC" w:rsidRDefault="00974DBC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29C2E146" w14:textId="3448FCBE" w:rsidR="00974DBC" w:rsidRDefault="00974DBC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6C25404A" w14:textId="77777777" w:rsidR="00974DBC" w:rsidRDefault="00974DBC" w:rsidP="00F96CB0">
      <w:pPr>
        <w:spacing w:before="100" w:beforeAutospacing="1" w:after="100" w:afterAutospacing="1"/>
        <w:jc w:val="both"/>
        <w:rPr>
          <w:b/>
          <w:bCs/>
          <w:sz w:val="18"/>
          <w:szCs w:val="18"/>
          <w:lang w:val="en-GB"/>
        </w:rPr>
      </w:pPr>
    </w:p>
    <w:p w14:paraId="35FEF3E2" w14:textId="21591F7D" w:rsidR="006951BA" w:rsidRDefault="006951BA" w:rsidP="00F96CB0">
      <w:pPr>
        <w:pStyle w:val="Prrafodelista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lastRenderedPageBreak/>
        <w:t>R</w:t>
      </w:r>
      <w:r w:rsidRPr="00260326">
        <w:rPr>
          <w:rFonts w:ascii="Times New Roman" w:hAnsi="Times New Roman" w:cs="Times New Roman"/>
          <w:b/>
          <w:bCs/>
          <w:lang w:val="en-GB"/>
        </w:rPr>
        <w:t>-mode (s</w:t>
      </w:r>
      <w:r>
        <w:rPr>
          <w:rFonts w:ascii="Times New Roman" w:hAnsi="Times New Roman" w:cs="Times New Roman"/>
          <w:b/>
          <w:bCs/>
          <w:lang w:val="en-GB"/>
        </w:rPr>
        <w:t>pecies</w:t>
      </w:r>
      <w:r w:rsidRPr="00260326">
        <w:rPr>
          <w:rFonts w:ascii="Times New Roman" w:hAnsi="Times New Roman" w:cs="Times New Roman"/>
          <w:b/>
          <w:bCs/>
          <w:lang w:val="en-GB"/>
        </w:rPr>
        <w:t xml:space="preserve">) </w:t>
      </w:r>
      <w:r w:rsidRPr="006951BA">
        <w:rPr>
          <w:rFonts w:ascii="Times New Roman" w:hAnsi="Times New Roman" w:cs="Times New Roman"/>
          <w:b/>
          <w:bCs/>
          <w:lang w:val="en-GB"/>
        </w:rPr>
        <w:t>Detrended Correspondence Analysis</w:t>
      </w:r>
      <w:r w:rsidR="00E63DEC">
        <w:rPr>
          <w:rFonts w:ascii="Times New Roman" w:hAnsi="Times New Roman" w:cs="Times New Roman"/>
          <w:b/>
          <w:bCs/>
          <w:lang w:val="en-GB"/>
        </w:rPr>
        <w:t xml:space="preserve"> (DCA)</w:t>
      </w:r>
    </w:p>
    <w:p w14:paraId="6956613A" w14:textId="63ECED7F" w:rsidR="001D253C" w:rsidRPr="001D253C" w:rsidRDefault="003F7FCE" w:rsidP="001D253C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  <w:r w:rsidRPr="003F7FCE">
        <w:rPr>
          <w:rFonts w:ascii="Times New Roman" w:hAnsi="Times New Roman" w:cs="Times New Roman"/>
          <w:lang w:val="en-GB"/>
        </w:rPr>
        <w:t>Th</w:t>
      </w:r>
      <w:r>
        <w:rPr>
          <w:rFonts w:ascii="Times New Roman" w:hAnsi="Times New Roman" w:cs="Times New Roman"/>
          <w:lang w:val="en-GB"/>
        </w:rPr>
        <w:t>e DCA</w:t>
      </w:r>
      <w:r w:rsidRPr="003F7FCE">
        <w:rPr>
          <w:rFonts w:ascii="Times New Roman" w:hAnsi="Times New Roman" w:cs="Times New Roman"/>
          <w:lang w:val="en-GB"/>
        </w:rPr>
        <w:t xml:space="preserve"> analysis (Suppl. Fig. S2), along with changes in the relative abundance of benthic foraminiferal taxa throughout the LLTM, allow us to identify </w:t>
      </w:r>
      <w:r w:rsidR="00974DBC">
        <w:rPr>
          <w:rFonts w:ascii="Times New Roman" w:hAnsi="Times New Roman" w:cs="Times New Roman"/>
          <w:lang w:val="en-GB"/>
        </w:rPr>
        <w:t xml:space="preserve">the species promoted by the </w:t>
      </w:r>
      <w:r w:rsidR="001D253C">
        <w:rPr>
          <w:rFonts w:ascii="Times New Roman" w:hAnsi="Times New Roman" w:cs="Times New Roman"/>
          <w:lang w:val="en-GB"/>
        </w:rPr>
        <w:t xml:space="preserve">warming </w:t>
      </w:r>
      <w:r w:rsidR="00974DBC">
        <w:rPr>
          <w:rFonts w:ascii="Times New Roman" w:hAnsi="Times New Roman" w:cs="Times New Roman"/>
          <w:lang w:val="en-GB"/>
        </w:rPr>
        <w:t>perturbation described in subinterval 4a</w:t>
      </w:r>
      <w:r w:rsidR="001D253C">
        <w:rPr>
          <w:rFonts w:ascii="Times New Roman" w:hAnsi="Times New Roman" w:cs="Times New Roman"/>
          <w:lang w:val="en-GB"/>
        </w:rPr>
        <w:t xml:space="preserve">. </w:t>
      </w:r>
      <w:r w:rsidR="001D253C" w:rsidRPr="001D253C">
        <w:rPr>
          <w:rFonts w:ascii="Times New Roman" w:hAnsi="Times New Roman" w:cs="Times New Roman"/>
          <w:lang w:val="en-GB"/>
        </w:rPr>
        <w:t>These species</w:t>
      </w:r>
      <w:r w:rsidR="000B5A14">
        <w:rPr>
          <w:rFonts w:ascii="Times New Roman" w:hAnsi="Times New Roman" w:cs="Times New Roman"/>
          <w:lang w:val="en-GB"/>
        </w:rPr>
        <w:t xml:space="preserve">, included in the grey area of </w:t>
      </w:r>
      <w:r w:rsidR="000B5A14" w:rsidRPr="001D253C">
        <w:rPr>
          <w:rFonts w:ascii="Times New Roman" w:hAnsi="Times New Roman" w:cs="Times New Roman"/>
          <w:lang w:val="en-GB"/>
        </w:rPr>
        <w:t>Supplementary Figure S2</w:t>
      </w:r>
      <w:r w:rsidR="000B5A14">
        <w:rPr>
          <w:rFonts w:ascii="Times New Roman" w:hAnsi="Times New Roman" w:cs="Times New Roman"/>
          <w:lang w:val="en-GB"/>
        </w:rPr>
        <w:t xml:space="preserve">, </w:t>
      </w:r>
      <w:r w:rsidR="001D253C" w:rsidRPr="001D253C">
        <w:rPr>
          <w:rFonts w:ascii="Times New Roman" w:hAnsi="Times New Roman" w:cs="Times New Roman"/>
          <w:lang w:val="en-GB"/>
        </w:rPr>
        <w:t>show the highest values along Axis X</w:t>
      </w:r>
      <w:r w:rsidR="00974DBC" w:rsidRPr="001D253C">
        <w:rPr>
          <w:rFonts w:ascii="Times New Roman" w:hAnsi="Times New Roman" w:cs="Times New Roman"/>
          <w:lang w:val="en-GB"/>
        </w:rPr>
        <w:t xml:space="preserve">. </w:t>
      </w:r>
      <w:r w:rsidRPr="001D253C">
        <w:rPr>
          <w:rFonts w:ascii="Times New Roman" w:hAnsi="Times New Roman" w:cs="Times New Roman"/>
          <w:lang w:val="en-GB"/>
        </w:rPr>
        <w:t xml:space="preserve"> </w:t>
      </w:r>
      <w:r w:rsidR="001D253C" w:rsidRPr="001D253C">
        <w:rPr>
          <w:rFonts w:ascii="Times New Roman" w:hAnsi="Times New Roman" w:cs="Times New Roman"/>
          <w:lang w:val="en-GB"/>
        </w:rPr>
        <w:t>The environmental perturbation is related to decreased export productivity, which could be associated with changes in the primary productivity caused by carbonate dissolution,</w:t>
      </w:r>
      <w:r w:rsidR="00901CB1">
        <w:rPr>
          <w:rFonts w:ascii="Times New Roman" w:hAnsi="Times New Roman" w:cs="Times New Roman"/>
          <w:lang w:val="en-GB"/>
        </w:rPr>
        <w:t xml:space="preserve"> </w:t>
      </w:r>
      <w:r w:rsidR="001D253C" w:rsidRPr="001D253C">
        <w:rPr>
          <w:rFonts w:ascii="Times New Roman" w:hAnsi="Times New Roman" w:cs="Times New Roman"/>
          <w:lang w:val="en-GB"/>
        </w:rPr>
        <w:t>alter</w:t>
      </w:r>
      <w:r w:rsidR="00901CB1">
        <w:rPr>
          <w:rFonts w:ascii="Times New Roman" w:hAnsi="Times New Roman" w:cs="Times New Roman"/>
          <w:lang w:val="en-GB"/>
        </w:rPr>
        <w:t>ing</w:t>
      </w:r>
      <w:r w:rsidR="001D253C" w:rsidRPr="001D253C">
        <w:rPr>
          <w:rFonts w:ascii="Times New Roman" w:hAnsi="Times New Roman" w:cs="Times New Roman"/>
          <w:lang w:val="en-GB"/>
        </w:rPr>
        <w:t xml:space="preserve"> the type and/or quality of organic matter reaching the deep-sea, and/or increased organic matter remineralization in the water column. </w:t>
      </w:r>
    </w:p>
    <w:p w14:paraId="130E0FBE" w14:textId="47C56A9A" w:rsidR="003D427E" w:rsidRDefault="00906877" w:rsidP="003D427E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noProof/>
          <w:lang w:val="en-GB"/>
        </w:rPr>
        <w:drawing>
          <wp:inline distT="0" distB="0" distL="0" distR="0" wp14:anchorId="36013F71" wp14:editId="56F01767">
            <wp:extent cx="5400040" cy="2848610"/>
            <wp:effectExtent l="0" t="0" r="0" b="889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4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771F4" w14:textId="4AD28954" w:rsidR="00E63DEC" w:rsidRDefault="00E63DEC" w:rsidP="003D427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6951BA">
        <w:rPr>
          <w:rFonts w:ascii="Times New Roman" w:hAnsi="Times New Roman" w:cs="Times New Roman"/>
          <w:sz w:val="20"/>
          <w:szCs w:val="20"/>
          <w:lang w:val="en-GB"/>
        </w:rPr>
        <w:t>Supplementary Figure S</w:t>
      </w:r>
      <w:r w:rsidR="00580AB6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6951BA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n-GB"/>
        </w:rPr>
        <w:t>DCA</w:t>
      </w:r>
      <w:r w:rsidRPr="006951BA">
        <w:rPr>
          <w:rFonts w:ascii="Times New Roman" w:hAnsi="Times New Roman" w:cs="Times New Roman"/>
          <w:sz w:val="20"/>
          <w:szCs w:val="20"/>
          <w:lang w:val="en-GB"/>
        </w:rPr>
        <w:t xml:space="preserve"> analysis plot of </w:t>
      </w:r>
      <w:r>
        <w:rPr>
          <w:rFonts w:ascii="Times New Roman" w:hAnsi="Times New Roman" w:cs="Times New Roman"/>
          <w:sz w:val="20"/>
          <w:szCs w:val="20"/>
          <w:lang w:val="en-GB"/>
        </w:rPr>
        <w:t>benthic foraminiferal species identified</w:t>
      </w:r>
      <w:r w:rsidRPr="006951BA">
        <w:rPr>
          <w:rFonts w:ascii="Times New Roman" w:hAnsi="Times New Roman" w:cs="Times New Roman"/>
          <w:sz w:val="20"/>
          <w:szCs w:val="20"/>
          <w:lang w:val="en-GB"/>
        </w:rPr>
        <w:t xml:space="preserve"> across the ODP Site 1260.</w:t>
      </w:r>
    </w:p>
    <w:p w14:paraId="09EB423F" w14:textId="77777777" w:rsidR="003F7FCE" w:rsidRPr="0048563F" w:rsidRDefault="003F7FCE" w:rsidP="0048563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bookmarkEnd w:id="0"/>
    <w:p w14:paraId="1FA75697" w14:textId="75F969F7" w:rsidR="008061A5" w:rsidRPr="0048563F" w:rsidRDefault="000B5A14" w:rsidP="0048563F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lang w:val="en-GB"/>
        </w:rPr>
      </w:pPr>
      <w:r w:rsidRPr="0048563F">
        <w:rPr>
          <w:rFonts w:ascii="Times New Roman" w:hAnsi="Times New Roman" w:cs="Times New Roman"/>
          <w:b/>
          <w:bCs/>
          <w:lang w:val="en-GB"/>
        </w:rPr>
        <w:t>References</w:t>
      </w:r>
    </w:p>
    <w:p w14:paraId="031383F9" w14:textId="77777777" w:rsidR="003A1761" w:rsidRPr="0048563F" w:rsidRDefault="003A1761" w:rsidP="0048563F">
      <w:pPr>
        <w:jc w:val="both"/>
        <w:rPr>
          <w:rFonts w:ascii="Times New Roman" w:hAnsi="Times New Roman" w:cs="Times New Roman"/>
          <w:lang w:val="en-GB"/>
        </w:rPr>
      </w:pPr>
      <w:r w:rsidRPr="0048563F">
        <w:rPr>
          <w:rFonts w:ascii="Times New Roman" w:hAnsi="Times New Roman" w:cs="Times New Roman"/>
          <w:lang w:val="en-GB"/>
        </w:rPr>
        <w:t>Hammer, Ø. and Harper, D.: Paleontological Data Analysis, Blackwell Publishing, Oxford, 2005.</w:t>
      </w:r>
    </w:p>
    <w:p w14:paraId="2A3E56ED" w14:textId="65185CD3" w:rsidR="00F77D98" w:rsidRPr="0048563F" w:rsidRDefault="003A1761" w:rsidP="0048563F">
      <w:pPr>
        <w:jc w:val="both"/>
        <w:rPr>
          <w:rFonts w:ascii="Times New Roman" w:hAnsi="Times New Roman" w:cs="Times New Roman"/>
          <w:lang w:val="en-GB"/>
        </w:rPr>
      </w:pPr>
      <w:r w:rsidRPr="0048563F">
        <w:rPr>
          <w:rFonts w:ascii="Times New Roman" w:hAnsi="Times New Roman" w:cs="Times New Roman"/>
          <w:lang w:val="en-GB"/>
        </w:rPr>
        <w:t>Hammer, Ø., Harper, D.A.T., and Ryan, P.D.:  PAST: Paleontological statistics software package for education and data analysis, Paleontol. Electron. 4 (1), 9, 2001.</w:t>
      </w:r>
    </w:p>
    <w:p w14:paraId="72ADEA7C" w14:textId="0B3117CE" w:rsidR="008D361A" w:rsidRPr="0048563F" w:rsidRDefault="008D361A" w:rsidP="0048563F">
      <w:pPr>
        <w:jc w:val="both"/>
        <w:rPr>
          <w:rFonts w:ascii="Times New Roman" w:hAnsi="Times New Roman" w:cs="Times New Roman"/>
          <w:lang w:val="en-GB"/>
        </w:rPr>
      </w:pPr>
      <w:r w:rsidRPr="0048563F">
        <w:rPr>
          <w:rFonts w:ascii="Times New Roman" w:hAnsi="Times New Roman" w:cs="Times New Roman"/>
          <w:lang w:val="en-GB"/>
        </w:rPr>
        <w:t>Rivero-Cuesta, L., Westerhold, T., Alegret, L.: The late Lutetian thermal Maximum (middle Eocene): first record of deep-sea benthic foraminifera response, Palaeogeogr. Palaeoclimatol. Palaeoecol., 545, 109637, 2020.</w:t>
      </w:r>
    </w:p>
    <w:sectPr w:rsidR="008D361A" w:rsidRPr="004856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C2E1D"/>
    <w:multiLevelType w:val="hybridMultilevel"/>
    <w:tmpl w:val="9E5A5B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6968"/>
    <w:multiLevelType w:val="hybridMultilevel"/>
    <w:tmpl w:val="0D96A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98"/>
    <w:rsid w:val="00065EA6"/>
    <w:rsid w:val="000B07EA"/>
    <w:rsid w:val="000B5A14"/>
    <w:rsid w:val="00141F1D"/>
    <w:rsid w:val="001B461F"/>
    <w:rsid w:val="001D253C"/>
    <w:rsid w:val="00260326"/>
    <w:rsid w:val="002A5599"/>
    <w:rsid w:val="00387BE8"/>
    <w:rsid w:val="003A1761"/>
    <w:rsid w:val="003D427E"/>
    <w:rsid w:val="003F7FCE"/>
    <w:rsid w:val="0048563F"/>
    <w:rsid w:val="004E2C5E"/>
    <w:rsid w:val="00580AB6"/>
    <w:rsid w:val="00672F6A"/>
    <w:rsid w:val="006951BA"/>
    <w:rsid w:val="0070768D"/>
    <w:rsid w:val="007F1CB1"/>
    <w:rsid w:val="008061A5"/>
    <w:rsid w:val="008301A1"/>
    <w:rsid w:val="008A722C"/>
    <w:rsid w:val="008D361A"/>
    <w:rsid w:val="00901CB1"/>
    <w:rsid w:val="00906877"/>
    <w:rsid w:val="00907675"/>
    <w:rsid w:val="0092373E"/>
    <w:rsid w:val="00963567"/>
    <w:rsid w:val="00974DBC"/>
    <w:rsid w:val="009A74EB"/>
    <w:rsid w:val="009A7D52"/>
    <w:rsid w:val="00AE0B38"/>
    <w:rsid w:val="00BA2AA8"/>
    <w:rsid w:val="00BF374E"/>
    <w:rsid w:val="00E472F5"/>
    <w:rsid w:val="00E63DEC"/>
    <w:rsid w:val="00E67AE5"/>
    <w:rsid w:val="00E94DDF"/>
    <w:rsid w:val="00F77D98"/>
    <w:rsid w:val="00F9642B"/>
    <w:rsid w:val="00F9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51AF"/>
  <w15:chartTrackingRefBased/>
  <w15:docId w15:val="{F3D4E793-A35C-4F45-988E-E28B98E4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ffiliation">
    <w:name w:val="Affiliation"/>
    <w:basedOn w:val="Normal"/>
    <w:link w:val="AffiliationChar"/>
    <w:qFormat/>
    <w:rsid w:val="008301A1"/>
    <w:p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AffiliationChar">
    <w:name w:val="Affiliation Char"/>
    <w:basedOn w:val="Fuentedeprrafopredeter"/>
    <w:link w:val="Affiliation"/>
    <w:rsid w:val="008301A1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Correspondence">
    <w:name w:val="Correspondence"/>
    <w:basedOn w:val="Normal"/>
    <w:link w:val="CorrespondenceChar"/>
    <w:qFormat/>
    <w:rsid w:val="008301A1"/>
    <w:pPr>
      <w:spacing w:before="120" w:after="36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Fuentedeprrafopredeter"/>
    <w:link w:val="Correspondence"/>
    <w:rsid w:val="008301A1"/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paragraph" w:customStyle="1" w:styleId="Authors">
    <w:name w:val="Authors"/>
    <w:basedOn w:val="Normal"/>
    <w:link w:val="AuthorsChar"/>
    <w:qFormat/>
    <w:rsid w:val="008301A1"/>
    <w:pPr>
      <w:spacing w:before="18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customStyle="1" w:styleId="AuthorsChar">
    <w:name w:val="Authors Char"/>
    <w:basedOn w:val="Fuentedeprrafopredeter"/>
    <w:link w:val="Authors"/>
    <w:rsid w:val="008301A1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styleId="Hipervnculo">
    <w:name w:val="Hyperlink"/>
    <w:basedOn w:val="Fuentedeprrafopredeter"/>
    <w:uiPriority w:val="99"/>
    <w:unhideWhenUsed/>
    <w:rsid w:val="008301A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301A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260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enepc@unizar.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F834B-3F92-413E-BCE6-6A8DD9F8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596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ipeñalver</dc:creator>
  <cp:keywords/>
  <dc:description/>
  <cp:lastModifiedBy>ipeñalver</cp:lastModifiedBy>
  <cp:revision>34</cp:revision>
  <dcterms:created xsi:type="dcterms:W3CDTF">2025-07-23T10:53:00Z</dcterms:created>
  <dcterms:modified xsi:type="dcterms:W3CDTF">2025-08-18T09:29:00Z</dcterms:modified>
</cp:coreProperties>
</file>